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A6253" w:rsidRPr="00A9202C" w:rsidRDefault="009A6253" w:rsidP="00A9202C">
      <w:pPr>
        <w:pStyle w:val="1"/>
        <w:shd w:val="clear" w:color="auto" w:fill="EDEDED"/>
        <w:spacing w:before="0" w:beforeAutospacing="0" w:after="0" w:afterAutospacing="0"/>
        <w:ind w:firstLine="709"/>
        <w:contextualSpacing/>
        <w:jc w:val="both"/>
        <w:rPr>
          <w:sz w:val="28"/>
          <w:szCs w:val="28"/>
        </w:rPr>
      </w:pPr>
      <w:r w:rsidRPr="00A9202C">
        <w:rPr>
          <w:sz w:val="28"/>
          <w:szCs w:val="28"/>
        </w:rPr>
        <w:t>Извещение о проведении на территории Республики Алтай государственной кадастровой оценки в 2021 году</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В соответствии со статьей 11 Федерального закона от 03.07.2016</w:t>
      </w:r>
      <w:r w:rsidRPr="00A9202C">
        <w:rPr>
          <w:sz w:val="28"/>
          <w:szCs w:val="28"/>
        </w:rPr>
        <w:br/>
        <w:t>№237-ФЗ «О государственной кадастровой оценке» Министерством экономического развития Республики Алтай, являющимся уполномоченным органом по вопросам государственной кадастровой оценки объектов недвижимости на территории Республики Алтай, принято решение (Приказ Министерства экономического развития Республики Алтай от 10 августа 2020 года № 179-ОД «О государственной кадастровой оценки в 2021 году» на территории Республики Алтай следующих видов объектов недвижимости: объекты капитального строительства; земли </w:t>
      </w:r>
      <w:hyperlink r:id="rId6" w:anchor="dst100619" w:history="1">
        <w:r w:rsidRPr="00A9202C">
          <w:rPr>
            <w:rStyle w:val="a3"/>
            <w:color w:val="auto"/>
            <w:sz w:val="28"/>
            <w:szCs w:val="28"/>
            <w:u w:val="none"/>
          </w:rPr>
          <w:t>сельскохозяйственного назначения</w:t>
        </w:r>
      </w:hyperlink>
      <w:r w:rsidRPr="00A9202C">
        <w:rPr>
          <w:sz w:val="28"/>
          <w:szCs w:val="28"/>
        </w:rPr>
        <w:t>; земли </w:t>
      </w:r>
      <w:hyperlink r:id="rId7" w:anchor="dst57" w:history="1">
        <w:r w:rsidRPr="00A9202C">
          <w:rPr>
            <w:rStyle w:val="a3"/>
            <w:color w:val="auto"/>
            <w:sz w:val="28"/>
            <w:szCs w:val="28"/>
            <w:u w:val="none"/>
          </w:rPr>
          <w:t>населенных пунктов</w:t>
        </w:r>
      </w:hyperlink>
      <w:r w:rsidRPr="00A9202C">
        <w:rPr>
          <w:sz w:val="28"/>
          <w:szCs w:val="28"/>
        </w:rPr>
        <w:t>.</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Подготовка к проведению государственной кадастровой оценки и государственная кадастровая оценка объектов недвижимости будет проводиться Государственным бюджетным учреждением Республики Алтай «Центр государственной кадастровой оценки» (далее - ГБУ РА «Центр государственной кадастровой оценки»).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Подготовка к проведению государственной кадастровой оценки осуществляется до 1 января 2021 года. В рамках подготовительного этапа к проведению государственной кадастровой оценки в целях сбора и обработки информации, необходимой для определения кадастровой стоимости, ГБУ РА «Центр государственной кадастровой оценки» осуществляет прием деклараций о характеристиках объекта недвижимости от правообладателей соответствующих земельных участков.</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Для сбора и обработки указанной информации правообладатели объектов недвижимости вправе предоставить в ГБУ РА «Центр государственной кадастровой оценки» декларации о характеристиках соответствующих объектов недвижимости, в том числе по уточнению основных, количественных и качественных характеристик объектов оценки: вида разрешенного использования, описания местоположения, площади, фактического использования, удаленности земельного участка, иных факторов, влияющих на кадастровую оценку объекта.</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Форма декларации о характеристиках объектов недвижимости и порядок ее рассмотрения утверждены приказом Минэкономразвития России от 4 июня 2019 года № 318 «Об утверждении порядка рассмотрения декларации о характеристиках объекта недвижимости, в том числе ее формы».</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Лица, имеющие право на подачу Декларации: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Подать Декларацию вправе юридические и физические лица, являющиеся правообладателями или представителями правообладателей объектов недвижимости.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b/>
          <w:bCs/>
          <w:sz w:val="28"/>
          <w:szCs w:val="28"/>
        </w:rPr>
        <w:t>В список таких лиц входят:</w:t>
      </w:r>
    </w:p>
    <w:p w:rsidR="009A6253" w:rsidRPr="00A9202C" w:rsidRDefault="009A6253" w:rsidP="00A9202C">
      <w:pPr>
        <w:pStyle w:val="a6"/>
        <w:numPr>
          <w:ilvl w:val="0"/>
          <w:numId w:val="4"/>
        </w:numPr>
        <w:shd w:val="clear" w:color="auto" w:fill="FFFFFF"/>
        <w:spacing w:before="0" w:beforeAutospacing="0" w:after="0" w:afterAutospacing="0"/>
        <w:ind w:left="709" w:firstLine="360"/>
        <w:contextualSpacing/>
        <w:jc w:val="both"/>
        <w:rPr>
          <w:sz w:val="28"/>
          <w:szCs w:val="28"/>
        </w:rPr>
      </w:pPr>
      <w:r w:rsidRPr="00A9202C">
        <w:rPr>
          <w:sz w:val="28"/>
          <w:szCs w:val="28"/>
        </w:rPr>
        <w:t>собственник объекта недвижимости;</w:t>
      </w:r>
    </w:p>
    <w:p w:rsidR="009A6253" w:rsidRPr="00A9202C" w:rsidRDefault="009A6253" w:rsidP="00A9202C">
      <w:pPr>
        <w:pStyle w:val="a6"/>
        <w:numPr>
          <w:ilvl w:val="0"/>
          <w:numId w:val="4"/>
        </w:numPr>
        <w:shd w:val="clear" w:color="auto" w:fill="FFFFFF"/>
        <w:spacing w:before="0" w:beforeAutospacing="0" w:after="0" w:afterAutospacing="0"/>
        <w:ind w:left="709" w:firstLine="360"/>
        <w:contextualSpacing/>
        <w:jc w:val="both"/>
        <w:rPr>
          <w:sz w:val="28"/>
          <w:szCs w:val="28"/>
        </w:rPr>
      </w:pPr>
      <w:r w:rsidRPr="00A9202C">
        <w:rPr>
          <w:sz w:val="28"/>
          <w:szCs w:val="28"/>
        </w:rPr>
        <w:t xml:space="preserve">обладатель иных вещных прав в отношении указанного объекта. Эти права регламентируются вторым разделом части 1 Гражданского Кодекса РФ и включают в себя право пожизненного наследуемого владения земельным участком, право постоянного (бессрочного) пользования земельным участком, </w:t>
      </w:r>
      <w:r w:rsidRPr="00A9202C">
        <w:rPr>
          <w:sz w:val="28"/>
          <w:szCs w:val="28"/>
        </w:rPr>
        <w:lastRenderedPageBreak/>
        <w:t>сервитуты, право хозяйственного ведения имуществом и право оперативного управления имуществом;</w:t>
      </w:r>
    </w:p>
    <w:p w:rsidR="009A6253" w:rsidRPr="00A9202C" w:rsidRDefault="009A6253" w:rsidP="00A9202C">
      <w:pPr>
        <w:pStyle w:val="a6"/>
        <w:numPr>
          <w:ilvl w:val="0"/>
          <w:numId w:val="4"/>
        </w:numPr>
        <w:shd w:val="clear" w:color="auto" w:fill="FFFFFF"/>
        <w:spacing w:before="0" w:beforeAutospacing="0" w:after="0" w:afterAutospacing="0"/>
        <w:ind w:left="709" w:firstLine="360"/>
        <w:contextualSpacing/>
        <w:jc w:val="both"/>
        <w:rPr>
          <w:sz w:val="28"/>
          <w:szCs w:val="28"/>
        </w:rPr>
      </w:pPr>
      <w:r w:rsidRPr="00A9202C">
        <w:rPr>
          <w:sz w:val="28"/>
          <w:szCs w:val="28"/>
        </w:rPr>
        <w:t>владелец и пользователь объектов недвижимости на основании обязательств, установленных главами 33-36 раздела IV части II Гражданского Кодекса РФ (обязательства, предусмотренные договором ренты и пожизненного содержания с иждивением, аренды, найма жилого помещения, безвозмездного пользования);</w:t>
      </w:r>
    </w:p>
    <w:p w:rsidR="009A6253" w:rsidRPr="00A9202C" w:rsidRDefault="009A6253" w:rsidP="00A9202C">
      <w:pPr>
        <w:pStyle w:val="a6"/>
        <w:numPr>
          <w:ilvl w:val="0"/>
          <w:numId w:val="4"/>
        </w:numPr>
        <w:shd w:val="clear" w:color="auto" w:fill="FFFFFF"/>
        <w:spacing w:before="0" w:beforeAutospacing="0" w:after="0" w:afterAutospacing="0"/>
        <w:ind w:left="709" w:firstLine="360"/>
        <w:contextualSpacing/>
        <w:jc w:val="both"/>
        <w:rPr>
          <w:sz w:val="28"/>
          <w:szCs w:val="28"/>
        </w:rPr>
      </w:pPr>
      <w:r w:rsidRPr="00A9202C">
        <w:rPr>
          <w:sz w:val="28"/>
          <w:szCs w:val="28"/>
        </w:rPr>
        <w:t>представитель заявителя при наличии доверенности или иного подтверждающего полномочия представителя документа, заверенных в соответствии с действующим законодательством Российской Федерации.</w:t>
      </w:r>
    </w:p>
    <w:p w:rsidR="00A9202C" w:rsidRDefault="00A9202C" w:rsidP="00A9202C">
      <w:pPr>
        <w:pStyle w:val="a6"/>
        <w:shd w:val="clear" w:color="auto" w:fill="FFFFFF"/>
        <w:spacing w:before="0" w:beforeAutospacing="0" w:after="0" w:afterAutospacing="0"/>
        <w:ind w:firstLine="709"/>
        <w:contextualSpacing/>
        <w:jc w:val="both"/>
        <w:rPr>
          <w:b/>
          <w:sz w:val="28"/>
          <w:szCs w:val="28"/>
        </w:rPr>
      </w:pPr>
    </w:p>
    <w:p w:rsidR="009A6253" w:rsidRPr="00A9202C" w:rsidRDefault="009A6253" w:rsidP="00A9202C">
      <w:pPr>
        <w:pStyle w:val="a6"/>
        <w:shd w:val="clear" w:color="auto" w:fill="FFFFFF"/>
        <w:spacing w:before="0" w:beforeAutospacing="0" w:after="0" w:afterAutospacing="0"/>
        <w:ind w:firstLine="709"/>
        <w:contextualSpacing/>
        <w:jc w:val="both"/>
        <w:rPr>
          <w:b/>
          <w:sz w:val="28"/>
          <w:szCs w:val="28"/>
        </w:rPr>
      </w:pPr>
      <w:r w:rsidRPr="00A9202C">
        <w:rPr>
          <w:b/>
          <w:sz w:val="28"/>
          <w:szCs w:val="28"/>
        </w:rPr>
        <w:t>Обязательный перечень документов</w:t>
      </w:r>
      <w:r w:rsidR="00A9202C">
        <w:rPr>
          <w:b/>
          <w:sz w:val="28"/>
          <w:szCs w:val="28"/>
        </w:rPr>
        <w:t xml:space="preserve"> </w:t>
      </w:r>
      <w:r w:rsidR="00A9202C">
        <w:rPr>
          <w:b/>
          <w:bCs/>
          <w:sz w:val="28"/>
          <w:szCs w:val="28"/>
        </w:rPr>
        <w:t>п</w:t>
      </w:r>
      <w:r w:rsidRPr="00A9202C">
        <w:rPr>
          <w:b/>
          <w:bCs/>
          <w:sz w:val="28"/>
          <w:szCs w:val="28"/>
        </w:rPr>
        <w:t>ри обращении правообладателя:</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декларация о характеристиках объекта недвижимости по установленной форме;</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документы, указание на которые содержатся в декларации;</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документ, удостоверяющий личность заявителя;</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правоустанавливающие документы, подтверждающие права заявителя на объект недвижимости.</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При обращении представителя правообладателя предъявляются:</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декларация о характеристиках объекта недвижимости по установленной форме;</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документы, указание на которые содержатся в декларации;</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документ, удостоверяющий личность представителя правообладателя;</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документ, удостоверяющий полномочия представителя правообладателя (доверенность или иной подтверждающий полномочия представителя заявителя документ);</w:t>
      </w:r>
    </w:p>
    <w:p w:rsidR="009A6253" w:rsidRPr="00A9202C" w:rsidRDefault="009A6253" w:rsidP="00A9202C">
      <w:pPr>
        <w:pStyle w:val="a6"/>
        <w:numPr>
          <w:ilvl w:val="0"/>
          <w:numId w:val="5"/>
        </w:numPr>
        <w:shd w:val="clear" w:color="auto" w:fill="FFFFFF"/>
        <w:spacing w:before="0" w:beforeAutospacing="0" w:after="0" w:afterAutospacing="0"/>
        <w:contextualSpacing/>
        <w:jc w:val="both"/>
        <w:rPr>
          <w:sz w:val="28"/>
          <w:szCs w:val="28"/>
        </w:rPr>
      </w:pPr>
      <w:r w:rsidRPr="00A9202C">
        <w:rPr>
          <w:sz w:val="28"/>
          <w:szCs w:val="28"/>
        </w:rPr>
        <w:t>правоустанавливающие документы, подтверждающие права заявителя на объект недвижимости.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Примеры документов, указания на которые могут содержатся в декларации:</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Технический паспорт на объект недвижимости;</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Межевой план земельного участка;</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Акт ввода объекта недвижимости в эксплуатацию;</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Решение муниципального образования о присвоении адреса;</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Выписка из Единого государственного реестра недвижимости;</w:t>
      </w:r>
    </w:p>
    <w:p w:rsidR="009A6253" w:rsidRPr="00A9202C" w:rsidRDefault="009A6253" w:rsidP="00A9202C">
      <w:pPr>
        <w:pStyle w:val="a6"/>
        <w:numPr>
          <w:ilvl w:val="0"/>
          <w:numId w:val="6"/>
        </w:numPr>
        <w:shd w:val="clear" w:color="auto" w:fill="FFFFFF"/>
        <w:spacing w:before="0" w:beforeAutospacing="0" w:after="0" w:afterAutospacing="0"/>
        <w:contextualSpacing/>
        <w:jc w:val="both"/>
        <w:rPr>
          <w:sz w:val="28"/>
          <w:szCs w:val="28"/>
        </w:rPr>
      </w:pPr>
      <w:r w:rsidRPr="00A9202C">
        <w:rPr>
          <w:sz w:val="28"/>
          <w:szCs w:val="28"/>
        </w:rPr>
        <w:t>Иные документы, подтверждающие указанные в Декларации значения характеристик.</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b/>
          <w:bCs/>
          <w:sz w:val="28"/>
          <w:szCs w:val="28"/>
        </w:rPr>
        <w:t>Особенности заполнения Декларации</w:t>
      </w:r>
    </w:p>
    <w:p w:rsidR="009A6253" w:rsidRPr="00A9202C" w:rsidRDefault="009A6253" w:rsidP="00A9202C">
      <w:pPr>
        <w:pStyle w:val="a6"/>
        <w:numPr>
          <w:ilvl w:val="0"/>
          <w:numId w:val="7"/>
        </w:numPr>
        <w:shd w:val="clear" w:color="auto" w:fill="FFFFFF"/>
        <w:spacing w:before="0" w:beforeAutospacing="0" w:after="0" w:afterAutospacing="0"/>
        <w:contextualSpacing/>
        <w:jc w:val="both"/>
        <w:rPr>
          <w:sz w:val="28"/>
          <w:szCs w:val="28"/>
        </w:rPr>
      </w:pPr>
      <w:r w:rsidRPr="00A9202C">
        <w:rPr>
          <w:sz w:val="28"/>
          <w:szCs w:val="28"/>
        </w:rPr>
        <w:t>на бумажном носителе – разборчиво, от руки, печатными буквами шариковой ручкой с чернилами синего либо чёрного цвета, без исправлений, подчисток, иных помарок или с использованием технических средств;</w:t>
      </w:r>
    </w:p>
    <w:p w:rsidR="009A6253" w:rsidRPr="00A9202C" w:rsidRDefault="009A6253" w:rsidP="00A9202C">
      <w:pPr>
        <w:pStyle w:val="a6"/>
        <w:numPr>
          <w:ilvl w:val="0"/>
          <w:numId w:val="7"/>
        </w:numPr>
        <w:shd w:val="clear" w:color="auto" w:fill="FFFFFF"/>
        <w:spacing w:before="0" w:beforeAutospacing="0" w:after="0" w:afterAutospacing="0"/>
        <w:contextualSpacing/>
        <w:jc w:val="both"/>
        <w:rPr>
          <w:sz w:val="28"/>
          <w:szCs w:val="28"/>
        </w:rPr>
      </w:pPr>
      <w:r w:rsidRPr="00A9202C">
        <w:rPr>
          <w:sz w:val="28"/>
          <w:szCs w:val="28"/>
        </w:rPr>
        <w:t>в электронной форме – без сокращений слов, аббревиатур или иных помарок.</w:t>
      </w:r>
    </w:p>
    <w:p w:rsidR="00A9202C" w:rsidRDefault="00A9202C" w:rsidP="00A9202C">
      <w:pPr>
        <w:pStyle w:val="a6"/>
        <w:shd w:val="clear" w:color="auto" w:fill="FFFFFF"/>
        <w:spacing w:before="0" w:beforeAutospacing="0" w:after="0" w:afterAutospacing="0"/>
        <w:ind w:firstLine="709"/>
        <w:contextualSpacing/>
        <w:jc w:val="both"/>
        <w:rPr>
          <w:b/>
          <w:bCs/>
          <w:sz w:val="28"/>
          <w:szCs w:val="28"/>
        </w:rPr>
      </w:pP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bookmarkStart w:id="0" w:name="_GoBack"/>
      <w:bookmarkEnd w:id="0"/>
      <w:r w:rsidRPr="00A9202C">
        <w:rPr>
          <w:b/>
          <w:bCs/>
          <w:sz w:val="28"/>
          <w:szCs w:val="28"/>
        </w:rPr>
        <w:lastRenderedPageBreak/>
        <w:t>Сроки рассмотрения Декларации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Учреждение рассматривает Декларацию в течение 50 рабочих дней с даты её предоставления.</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Результат рассмотрения Декларации направляется заявителю и представителю заявителя в течение 5 рабочих дней.</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Результат рассмотрения Декларации</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Результатом рассмотрения Учреждением Декларации является уведомление с указанием учтенной информации, содержащейся в декларации, а также неучтенной информации и причин, по которым она не была учтена.</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b/>
          <w:bCs/>
          <w:sz w:val="28"/>
          <w:szCs w:val="28"/>
        </w:rPr>
        <w:t>Прием деклараций о характеристиках объектов недвижимости осуществляется:</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В бумажном виде декларацию можно направить почтовым отправлением, подать лично в ГБУ РА «Центр государственной кадастровой оценки» по адресу: 649002, г. Горно-Алтайск, ул. Промышленная, д.3, либо через офисы многофункциональных центров обеспечения предоставления государственных и муниципальных услуг.</w:t>
      </w:r>
    </w:p>
    <w:p w:rsidR="009A6253" w:rsidRPr="00A9202C" w:rsidRDefault="009A6253" w:rsidP="00A9202C">
      <w:pPr>
        <w:pStyle w:val="a6"/>
        <w:shd w:val="clear" w:color="auto" w:fill="FFFFFF"/>
        <w:spacing w:before="0" w:beforeAutospacing="0" w:after="0" w:afterAutospacing="0"/>
        <w:ind w:firstLine="709"/>
        <w:contextualSpacing/>
        <w:jc w:val="both"/>
        <w:rPr>
          <w:sz w:val="28"/>
          <w:szCs w:val="28"/>
        </w:rPr>
      </w:pPr>
      <w:r w:rsidRPr="00A9202C">
        <w:rPr>
          <w:sz w:val="28"/>
          <w:szCs w:val="28"/>
        </w:rPr>
        <w:t>В электронном виде на сайт </w:t>
      </w:r>
      <w:hyperlink r:id="rId8" w:history="1">
        <w:r w:rsidRPr="00A9202C">
          <w:rPr>
            <w:rStyle w:val="a3"/>
            <w:color w:val="auto"/>
            <w:sz w:val="28"/>
            <w:szCs w:val="28"/>
          </w:rPr>
          <w:t>http://cgko-ra.ru/deklaratsii-ob-obektah-nedvizhimosti/</w:t>
        </w:r>
      </w:hyperlink>
      <w:r w:rsidRPr="00A9202C">
        <w:rPr>
          <w:sz w:val="28"/>
          <w:szCs w:val="28"/>
        </w:rPr>
        <w:t> или на официальный адрес электронной почты </w:t>
      </w:r>
      <w:hyperlink r:id="rId9" w:history="1">
        <w:r w:rsidRPr="00A9202C">
          <w:rPr>
            <w:rStyle w:val="a3"/>
            <w:color w:val="auto"/>
            <w:sz w:val="28"/>
            <w:szCs w:val="28"/>
          </w:rPr>
          <w:t>gbu.ra-cgko@mail.ru</w:t>
        </w:r>
      </w:hyperlink>
      <w:r w:rsidRPr="00A9202C">
        <w:rPr>
          <w:sz w:val="28"/>
          <w:szCs w:val="28"/>
        </w:rPr>
        <w:t>.</w:t>
      </w:r>
    </w:p>
    <w:p w:rsidR="009A6253" w:rsidRPr="00A9202C" w:rsidRDefault="009A6253" w:rsidP="00A9202C">
      <w:pPr>
        <w:ind w:firstLine="709"/>
        <w:contextualSpacing/>
        <w:rPr>
          <w:sz w:val="28"/>
          <w:szCs w:val="28"/>
        </w:rPr>
      </w:pPr>
    </w:p>
    <w:sectPr w:rsidR="009A6253" w:rsidRPr="00A9202C" w:rsidSect="002E6142">
      <w:pgSz w:w="11900" w:h="16840"/>
      <w:pgMar w:top="555" w:right="701" w:bottom="1440" w:left="1136" w:header="0" w:footer="0" w:gutter="0"/>
      <w:cols w:space="720" w:equalWidth="0">
        <w:col w:w="102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8BE"/>
    <w:multiLevelType w:val="hybridMultilevel"/>
    <w:tmpl w:val="03C85462"/>
    <w:lvl w:ilvl="0" w:tplc="A0708D82">
      <w:start w:val="1"/>
      <w:numFmt w:val="bullet"/>
      <w:lvlText w:val="В"/>
      <w:lvlJc w:val="left"/>
    </w:lvl>
    <w:lvl w:ilvl="1" w:tplc="41B299FC">
      <w:numFmt w:val="decimal"/>
      <w:lvlText w:val=""/>
      <w:lvlJc w:val="left"/>
    </w:lvl>
    <w:lvl w:ilvl="2" w:tplc="F5A08612">
      <w:numFmt w:val="decimal"/>
      <w:lvlText w:val=""/>
      <w:lvlJc w:val="left"/>
    </w:lvl>
    <w:lvl w:ilvl="3" w:tplc="F560F3F2">
      <w:numFmt w:val="decimal"/>
      <w:lvlText w:val=""/>
      <w:lvlJc w:val="left"/>
    </w:lvl>
    <w:lvl w:ilvl="4" w:tplc="411C1BE4">
      <w:numFmt w:val="decimal"/>
      <w:lvlText w:val=""/>
      <w:lvlJc w:val="left"/>
    </w:lvl>
    <w:lvl w:ilvl="5" w:tplc="647C7938">
      <w:numFmt w:val="decimal"/>
      <w:lvlText w:val=""/>
      <w:lvlJc w:val="left"/>
    </w:lvl>
    <w:lvl w:ilvl="6" w:tplc="D7A443B6">
      <w:numFmt w:val="decimal"/>
      <w:lvlText w:val=""/>
      <w:lvlJc w:val="left"/>
    </w:lvl>
    <w:lvl w:ilvl="7" w:tplc="F3FE1CBE">
      <w:numFmt w:val="decimal"/>
      <w:lvlText w:val=""/>
      <w:lvlJc w:val="left"/>
    </w:lvl>
    <w:lvl w:ilvl="8" w:tplc="F500A3C0">
      <w:numFmt w:val="decimal"/>
      <w:lvlText w:val=""/>
      <w:lvlJc w:val="left"/>
    </w:lvl>
  </w:abstractNum>
  <w:abstractNum w:abstractNumId="1" w15:restartNumberingAfterBreak="0">
    <w:nsid w:val="00006784"/>
    <w:multiLevelType w:val="hybridMultilevel"/>
    <w:tmpl w:val="666CA614"/>
    <w:lvl w:ilvl="0" w:tplc="B73E5A14">
      <w:start w:val="1"/>
      <w:numFmt w:val="bullet"/>
      <w:lvlText w:val="&gt;&gt;"/>
      <w:lvlJc w:val="left"/>
    </w:lvl>
    <w:lvl w:ilvl="1" w:tplc="3DFE82FE">
      <w:numFmt w:val="decimal"/>
      <w:lvlText w:val=""/>
      <w:lvlJc w:val="left"/>
    </w:lvl>
    <w:lvl w:ilvl="2" w:tplc="E6D285F6">
      <w:numFmt w:val="decimal"/>
      <w:lvlText w:val=""/>
      <w:lvlJc w:val="left"/>
    </w:lvl>
    <w:lvl w:ilvl="3" w:tplc="9C90C546">
      <w:numFmt w:val="decimal"/>
      <w:lvlText w:val=""/>
      <w:lvlJc w:val="left"/>
    </w:lvl>
    <w:lvl w:ilvl="4" w:tplc="C65C69D8">
      <w:numFmt w:val="decimal"/>
      <w:lvlText w:val=""/>
      <w:lvlJc w:val="left"/>
    </w:lvl>
    <w:lvl w:ilvl="5" w:tplc="DE166D5C">
      <w:numFmt w:val="decimal"/>
      <w:lvlText w:val=""/>
      <w:lvlJc w:val="left"/>
    </w:lvl>
    <w:lvl w:ilvl="6" w:tplc="D240786C">
      <w:numFmt w:val="decimal"/>
      <w:lvlText w:val=""/>
      <w:lvlJc w:val="left"/>
    </w:lvl>
    <w:lvl w:ilvl="7" w:tplc="27843FDA">
      <w:numFmt w:val="decimal"/>
      <w:lvlText w:val=""/>
      <w:lvlJc w:val="left"/>
    </w:lvl>
    <w:lvl w:ilvl="8" w:tplc="FA16DFFA">
      <w:numFmt w:val="decimal"/>
      <w:lvlText w:val=""/>
      <w:lvlJc w:val="left"/>
    </w:lvl>
  </w:abstractNum>
  <w:abstractNum w:abstractNumId="2" w15:restartNumberingAfterBreak="0">
    <w:nsid w:val="1D487B19"/>
    <w:multiLevelType w:val="hybridMultilevel"/>
    <w:tmpl w:val="93326274"/>
    <w:lvl w:ilvl="0" w:tplc="20D28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B11D90"/>
    <w:multiLevelType w:val="hybridMultilevel"/>
    <w:tmpl w:val="C2385A16"/>
    <w:lvl w:ilvl="0" w:tplc="20D28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AF6B89"/>
    <w:multiLevelType w:val="hybridMultilevel"/>
    <w:tmpl w:val="4EEA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2DC3D16"/>
    <w:multiLevelType w:val="hybridMultilevel"/>
    <w:tmpl w:val="6324CD40"/>
    <w:lvl w:ilvl="0" w:tplc="20D28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F901C49"/>
    <w:multiLevelType w:val="hybridMultilevel"/>
    <w:tmpl w:val="BC2C8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useFELayout/>
    <w:compatSetting w:name="compatibilityMode" w:uri="http://schemas.microsoft.com/office/word" w:val="12"/>
  </w:compat>
  <w:rsids>
    <w:rsidRoot w:val="00DE0591"/>
    <w:rsid w:val="000878F0"/>
    <w:rsid w:val="0012299D"/>
    <w:rsid w:val="00170784"/>
    <w:rsid w:val="001D79C3"/>
    <w:rsid w:val="00251563"/>
    <w:rsid w:val="002E6142"/>
    <w:rsid w:val="003A51B4"/>
    <w:rsid w:val="003F0CC6"/>
    <w:rsid w:val="00411794"/>
    <w:rsid w:val="004519E3"/>
    <w:rsid w:val="004C5694"/>
    <w:rsid w:val="005020F1"/>
    <w:rsid w:val="00527678"/>
    <w:rsid w:val="00644237"/>
    <w:rsid w:val="007638A1"/>
    <w:rsid w:val="007D4367"/>
    <w:rsid w:val="009A6253"/>
    <w:rsid w:val="009D21BF"/>
    <w:rsid w:val="009E2521"/>
    <w:rsid w:val="00A40E10"/>
    <w:rsid w:val="00A9202C"/>
    <w:rsid w:val="00B12390"/>
    <w:rsid w:val="00B279CF"/>
    <w:rsid w:val="00B839BC"/>
    <w:rsid w:val="00B959F7"/>
    <w:rsid w:val="00B96545"/>
    <w:rsid w:val="00BA1AA0"/>
    <w:rsid w:val="00BE0204"/>
    <w:rsid w:val="00BF0A99"/>
    <w:rsid w:val="00C912CF"/>
    <w:rsid w:val="00CC4759"/>
    <w:rsid w:val="00D25275"/>
    <w:rsid w:val="00D252C4"/>
    <w:rsid w:val="00DA0797"/>
    <w:rsid w:val="00DB3C17"/>
    <w:rsid w:val="00DE0591"/>
    <w:rsid w:val="00DF767A"/>
    <w:rsid w:val="00E07AF7"/>
    <w:rsid w:val="00EA3FBA"/>
    <w:rsid w:val="00EB1ADA"/>
    <w:rsid w:val="00EC68AB"/>
    <w:rsid w:val="00F02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5E630-7A92-4B6C-B8E8-DAC911F1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99"/>
  </w:style>
  <w:style w:type="paragraph" w:styleId="1">
    <w:name w:val="heading 1"/>
    <w:basedOn w:val="a"/>
    <w:link w:val="10"/>
    <w:uiPriority w:val="9"/>
    <w:qFormat/>
    <w:rsid w:val="009A6253"/>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aaieiaie1">
    <w:name w:val="caaieiaie 1"/>
    <w:basedOn w:val="a"/>
    <w:next w:val="a"/>
    <w:rsid w:val="009E2521"/>
    <w:pPr>
      <w:keepNext/>
      <w:jc w:val="center"/>
    </w:pPr>
    <w:rPr>
      <w:rFonts w:eastAsia="Times New Roman"/>
      <w:sz w:val="28"/>
      <w:szCs w:val="20"/>
    </w:rPr>
  </w:style>
  <w:style w:type="paragraph" w:styleId="a4">
    <w:name w:val="Plain Text"/>
    <w:basedOn w:val="a"/>
    <w:link w:val="a5"/>
    <w:uiPriority w:val="99"/>
    <w:unhideWhenUsed/>
    <w:rsid w:val="004519E3"/>
    <w:rPr>
      <w:rFonts w:ascii="Consolas" w:hAnsi="Consolas"/>
      <w:sz w:val="21"/>
      <w:szCs w:val="21"/>
    </w:rPr>
  </w:style>
  <w:style w:type="character" w:customStyle="1" w:styleId="a5">
    <w:name w:val="Текст Знак"/>
    <w:basedOn w:val="a0"/>
    <w:link w:val="a4"/>
    <w:uiPriority w:val="99"/>
    <w:rsid w:val="004519E3"/>
    <w:rPr>
      <w:rFonts w:ascii="Consolas" w:hAnsi="Consolas"/>
      <w:sz w:val="21"/>
      <w:szCs w:val="21"/>
    </w:rPr>
  </w:style>
  <w:style w:type="character" w:customStyle="1" w:styleId="10">
    <w:name w:val="Заголовок 1 Знак"/>
    <w:basedOn w:val="a0"/>
    <w:link w:val="1"/>
    <w:uiPriority w:val="9"/>
    <w:rsid w:val="009A6253"/>
    <w:rPr>
      <w:rFonts w:eastAsia="Times New Roman"/>
      <w:b/>
      <w:bCs/>
      <w:kern w:val="36"/>
      <w:sz w:val="48"/>
      <w:szCs w:val="48"/>
    </w:rPr>
  </w:style>
  <w:style w:type="paragraph" w:styleId="a6">
    <w:name w:val="Normal (Web)"/>
    <w:basedOn w:val="a"/>
    <w:uiPriority w:val="99"/>
    <w:semiHidden/>
    <w:unhideWhenUsed/>
    <w:rsid w:val="009A625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2439">
      <w:bodyDiv w:val="1"/>
      <w:marLeft w:val="0"/>
      <w:marRight w:val="0"/>
      <w:marTop w:val="0"/>
      <w:marBottom w:val="0"/>
      <w:divBdr>
        <w:top w:val="none" w:sz="0" w:space="0" w:color="auto"/>
        <w:left w:val="none" w:sz="0" w:space="0" w:color="auto"/>
        <w:bottom w:val="none" w:sz="0" w:space="0" w:color="auto"/>
        <w:right w:val="none" w:sz="0" w:space="0" w:color="auto"/>
      </w:divBdr>
    </w:div>
    <w:div w:id="624237321">
      <w:bodyDiv w:val="1"/>
      <w:marLeft w:val="0"/>
      <w:marRight w:val="0"/>
      <w:marTop w:val="0"/>
      <w:marBottom w:val="0"/>
      <w:divBdr>
        <w:top w:val="none" w:sz="0" w:space="0" w:color="auto"/>
        <w:left w:val="none" w:sz="0" w:space="0" w:color="auto"/>
        <w:bottom w:val="none" w:sz="0" w:space="0" w:color="auto"/>
        <w:right w:val="none" w:sz="0" w:space="0" w:color="auto"/>
      </w:divBdr>
      <w:divsChild>
        <w:div w:id="227960000">
          <w:marLeft w:val="-300"/>
          <w:marRight w:val="-300"/>
          <w:marTop w:val="0"/>
          <w:marBottom w:val="0"/>
          <w:divBdr>
            <w:top w:val="none" w:sz="0" w:space="0" w:color="auto"/>
            <w:left w:val="none" w:sz="0" w:space="0" w:color="auto"/>
            <w:bottom w:val="none" w:sz="0" w:space="0" w:color="auto"/>
            <w:right w:val="none" w:sz="0" w:space="0" w:color="auto"/>
          </w:divBdr>
          <w:divsChild>
            <w:div w:id="288247677">
              <w:marLeft w:val="0"/>
              <w:marRight w:val="0"/>
              <w:marTop w:val="0"/>
              <w:marBottom w:val="600"/>
              <w:divBdr>
                <w:top w:val="none" w:sz="0" w:space="0" w:color="auto"/>
                <w:left w:val="none" w:sz="0" w:space="0" w:color="auto"/>
                <w:bottom w:val="none" w:sz="0" w:space="0" w:color="auto"/>
                <w:right w:val="none" w:sz="0" w:space="0" w:color="auto"/>
              </w:divBdr>
            </w:div>
          </w:divsChild>
        </w:div>
        <w:div w:id="860124132">
          <w:marLeft w:val="0"/>
          <w:marRight w:val="0"/>
          <w:marTop w:val="0"/>
          <w:marBottom w:val="0"/>
          <w:divBdr>
            <w:top w:val="none" w:sz="0" w:space="0" w:color="auto"/>
            <w:left w:val="none" w:sz="0" w:space="0" w:color="auto"/>
            <w:bottom w:val="none" w:sz="0" w:space="0" w:color="auto"/>
            <w:right w:val="none" w:sz="0" w:space="0" w:color="auto"/>
          </w:divBdr>
          <w:divsChild>
            <w:div w:id="2036227026">
              <w:marLeft w:val="0"/>
              <w:marRight w:val="0"/>
              <w:marTop w:val="0"/>
              <w:marBottom w:val="0"/>
              <w:divBdr>
                <w:top w:val="none" w:sz="0" w:space="0" w:color="auto"/>
                <w:left w:val="none" w:sz="0" w:space="0" w:color="auto"/>
                <w:bottom w:val="none" w:sz="0" w:space="0" w:color="auto"/>
                <w:right w:val="none" w:sz="0" w:space="0" w:color="auto"/>
              </w:divBdr>
              <w:divsChild>
                <w:div w:id="1636910972">
                  <w:marLeft w:val="0"/>
                  <w:marRight w:val="0"/>
                  <w:marTop w:val="0"/>
                  <w:marBottom w:val="0"/>
                  <w:divBdr>
                    <w:top w:val="none" w:sz="0" w:space="0" w:color="auto"/>
                    <w:left w:val="none" w:sz="0" w:space="0" w:color="auto"/>
                    <w:bottom w:val="none" w:sz="0" w:space="0" w:color="auto"/>
                    <w:right w:val="none" w:sz="0" w:space="0" w:color="auto"/>
                  </w:divBdr>
                  <w:divsChild>
                    <w:div w:id="247547555">
                      <w:marLeft w:val="0"/>
                      <w:marRight w:val="0"/>
                      <w:marTop w:val="0"/>
                      <w:marBottom w:val="0"/>
                      <w:divBdr>
                        <w:top w:val="none" w:sz="0" w:space="0" w:color="auto"/>
                        <w:left w:val="none" w:sz="0" w:space="0" w:color="auto"/>
                        <w:bottom w:val="none" w:sz="0" w:space="0" w:color="auto"/>
                        <w:right w:val="none" w:sz="0" w:space="0" w:color="auto"/>
                      </w:divBdr>
                      <w:divsChild>
                        <w:div w:id="781414358">
                          <w:marLeft w:val="0"/>
                          <w:marRight w:val="0"/>
                          <w:marTop w:val="150"/>
                          <w:marBottom w:val="150"/>
                          <w:divBdr>
                            <w:top w:val="none" w:sz="0" w:space="0" w:color="auto"/>
                            <w:left w:val="none" w:sz="0" w:space="0" w:color="auto"/>
                            <w:bottom w:val="none" w:sz="0" w:space="0" w:color="auto"/>
                            <w:right w:val="none" w:sz="0" w:space="0" w:color="auto"/>
                          </w:divBdr>
                        </w:div>
                        <w:div w:id="268320259">
                          <w:marLeft w:val="0"/>
                          <w:marRight w:val="0"/>
                          <w:marTop w:val="0"/>
                          <w:marBottom w:val="0"/>
                          <w:divBdr>
                            <w:top w:val="none" w:sz="0" w:space="0" w:color="auto"/>
                            <w:left w:val="none" w:sz="0" w:space="0" w:color="auto"/>
                            <w:bottom w:val="none" w:sz="0" w:space="0" w:color="auto"/>
                            <w:right w:val="none" w:sz="0" w:space="0" w:color="auto"/>
                          </w:divBdr>
                        </w:div>
                      </w:divsChild>
                    </w:div>
                    <w:div w:id="19967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6112">
      <w:bodyDiv w:val="1"/>
      <w:marLeft w:val="0"/>
      <w:marRight w:val="0"/>
      <w:marTop w:val="0"/>
      <w:marBottom w:val="0"/>
      <w:divBdr>
        <w:top w:val="none" w:sz="0" w:space="0" w:color="auto"/>
        <w:left w:val="none" w:sz="0" w:space="0" w:color="auto"/>
        <w:bottom w:val="none" w:sz="0" w:space="0" w:color="auto"/>
        <w:right w:val="none" w:sz="0" w:space="0" w:color="auto"/>
      </w:divBdr>
      <w:divsChild>
        <w:div w:id="192302844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ko-ra.ru/deklaratsii-ob-obektah-nedvizhimosti/" TargetMode="External"/><Relationship Id="rId3" Type="http://schemas.openxmlformats.org/officeDocument/2006/relationships/styles" Target="styles.xml"/><Relationship Id="rId7" Type="http://schemas.openxmlformats.org/officeDocument/2006/relationships/hyperlink" Target="http://www.consultant.ru/document/cons_doc_LAW_348016/45d0cc69700d8ee1f78688bba249153491cb80e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48016/3aaecaef129040f9a9e5ed1043eb79e782e6e4f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bu.ra-cg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6F22-B3D9-4F50-AB94-A89261F0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926</Words>
  <Characters>5280</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Маша</cp:lastModifiedBy>
  <cp:revision>19</cp:revision>
  <dcterms:created xsi:type="dcterms:W3CDTF">2019-03-13T04:50:00Z</dcterms:created>
  <dcterms:modified xsi:type="dcterms:W3CDTF">2020-08-27T08:25:00Z</dcterms:modified>
</cp:coreProperties>
</file>